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57E61">
      <w:p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097768C4">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2903B5AB">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东莞市沙田中学（暂定名）园建绿化工程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5A1C2D8A">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东莞市沙田中学（暂定名）园建绿化</w:t>
      </w:r>
      <w:r>
        <w:rPr>
          <w:rFonts w:hint="eastAsia" w:ascii="仿宋_GB2312" w:hAnsi="仿宋_GB2312" w:eastAsia="仿宋_GB2312" w:cs="仿宋_GB2312"/>
          <w:kern w:val="0"/>
          <w:szCs w:val="21"/>
          <w:u w:val="single"/>
        </w:rPr>
        <w:t>工程</w:t>
      </w:r>
    </w:p>
    <w:p w14:paraId="71AC22FE">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ZBCG-202</w:t>
      </w:r>
      <w:r>
        <w:rPr>
          <w:rFonts w:hint="eastAsia" w:ascii="仿宋_GB2312" w:hAnsi="仿宋_GB2312" w:eastAsia="仿宋_GB2312" w:cs="仿宋_GB2312"/>
          <w:kern w:val="0"/>
          <w:szCs w:val="21"/>
          <w:u w:val="single"/>
          <w:lang w:val="en-US" w:eastAsia="zh-CN"/>
        </w:rPr>
        <w:t>5-228</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1057B05F">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u w:val="single"/>
        </w:rPr>
        <w:t xml:space="preserve">                </w:t>
      </w:r>
    </w:p>
    <w:p w14:paraId="2FF1154E">
      <w:pPr>
        <w:widowControl/>
        <w:snapToGrid w:val="0"/>
        <w:spacing w:line="360" w:lineRule="auto"/>
        <w:ind w:firstLine="367" w:firstLineChars="175"/>
        <w:rPr>
          <w:rFonts w:hint="eastAsia" w:ascii="仿宋_GB2312" w:hAnsi="仿宋_GB2312" w:eastAsia="仿宋_GB2312" w:cs="仿宋_GB2312"/>
          <w:kern w:val="0"/>
          <w:szCs w:val="21"/>
          <w:u w:val="none"/>
        </w:rPr>
      </w:pPr>
      <w:r>
        <w:rPr>
          <w:rFonts w:hint="eastAsia" w:ascii="仿宋_GB2312" w:hAnsi="仿宋_GB2312" w:eastAsia="仿宋_GB2312" w:cs="仿宋_GB2312"/>
          <w:kern w:val="0"/>
          <w:szCs w:val="21"/>
        </w:rPr>
        <w:t>四、采购限价：本项目采购控</w:t>
      </w:r>
      <w:r>
        <w:rPr>
          <w:rFonts w:hint="eastAsia" w:ascii="仿宋_GB2312" w:hAnsi="仿宋_GB2312" w:eastAsia="仿宋_GB2312" w:cs="仿宋_GB2312"/>
          <w:kern w:val="0"/>
          <w:szCs w:val="21"/>
          <w:u w:val="none"/>
        </w:rPr>
        <w:t xml:space="preserve">制价为¥  </w:t>
      </w:r>
      <w:r>
        <w:rPr>
          <w:rFonts w:hint="eastAsia" w:ascii="仿宋_GB2312" w:hAnsi="仿宋_GB2312" w:eastAsia="仿宋_GB2312" w:cs="仿宋_GB2312"/>
          <w:kern w:val="0"/>
          <w:szCs w:val="21"/>
          <w:u w:val="none"/>
          <w:lang w:val="en-US" w:eastAsia="zh-CN"/>
        </w:rPr>
        <w:t>19110023.55</w:t>
      </w:r>
      <w:r>
        <w:rPr>
          <w:rFonts w:hint="eastAsia" w:ascii="仿宋_GB2312" w:hAnsi="仿宋_GB2312" w:eastAsia="仿宋_GB2312" w:cs="仿宋_GB2312"/>
          <w:kern w:val="0"/>
          <w:szCs w:val="21"/>
          <w:u w:val="none"/>
        </w:rPr>
        <w:t xml:space="preserve"> 元（含税 </w:t>
      </w:r>
      <w:r>
        <w:rPr>
          <w:rFonts w:hint="eastAsia" w:ascii="仿宋_GB2312" w:hAnsi="仿宋_GB2312" w:eastAsia="仿宋_GB2312" w:cs="仿宋_GB2312"/>
          <w:kern w:val="0"/>
          <w:szCs w:val="21"/>
          <w:u w:val="none"/>
          <w:lang w:val="en-US" w:eastAsia="zh-CN"/>
        </w:rPr>
        <w:t>9</w:t>
      </w:r>
      <w:r>
        <w:rPr>
          <w:rFonts w:hint="eastAsia" w:ascii="仿宋_GB2312" w:hAnsi="仿宋_GB2312" w:eastAsia="仿宋_GB2312" w:cs="仿宋_GB2312"/>
          <w:kern w:val="0"/>
          <w:szCs w:val="21"/>
          <w:u w:val="none"/>
        </w:rPr>
        <w:t xml:space="preserve"> %）,采购限价为¥ </w:t>
      </w:r>
      <w:r>
        <w:rPr>
          <w:rFonts w:hint="eastAsia" w:ascii="仿宋_GB2312" w:hAnsi="仿宋_GB2312" w:eastAsia="仿宋_GB2312" w:cs="仿宋_GB2312"/>
          <w:kern w:val="0"/>
          <w:szCs w:val="21"/>
          <w:u w:val="none"/>
          <w:lang w:val="en-US" w:eastAsia="zh-CN"/>
        </w:rPr>
        <w:t>16259806.49</w:t>
      </w:r>
      <w:r>
        <w:rPr>
          <w:rFonts w:hint="eastAsia" w:ascii="仿宋_GB2312" w:hAnsi="仿宋_GB2312" w:eastAsia="仿宋_GB2312" w:cs="仿宋_GB2312"/>
          <w:kern w:val="0"/>
          <w:szCs w:val="21"/>
          <w:u w:val="none"/>
        </w:rPr>
        <w:t xml:space="preserve">  元（含税 </w:t>
      </w:r>
      <w:r>
        <w:rPr>
          <w:rFonts w:hint="eastAsia" w:ascii="仿宋_GB2312" w:hAnsi="仿宋_GB2312" w:eastAsia="仿宋_GB2312" w:cs="仿宋_GB2312"/>
          <w:kern w:val="0"/>
          <w:szCs w:val="21"/>
          <w:u w:val="none"/>
          <w:lang w:val="en-US" w:eastAsia="zh-CN"/>
        </w:rPr>
        <w:t>9</w:t>
      </w:r>
      <w:r>
        <w:rPr>
          <w:rFonts w:hint="eastAsia" w:ascii="仿宋_GB2312" w:hAnsi="仿宋_GB2312" w:eastAsia="仿宋_GB2312" w:cs="仿宋_GB2312"/>
          <w:kern w:val="0"/>
          <w:szCs w:val="21"/>
          <w:u w:val="none"/>
        </w:rPr>
        <w:t xml:space="preserve"> %），其中不含税工程价款为:(小写)¥ </w:t>
      </w:r>
      <w:r>
        <w:rPr>
          <w:rFonts w:hint="eastAsia" w:ascii="仿宋_GB2312" w:hAnsi="仿宋_GB2312" w:eastAsia="仿宋_GB2312" w:cs="仿宋_GB2312"/>
          <w:kern w:val="0"/>
          <w:szCs w:val="21"/>
          <w:u w:val="none"/>
          <w:lang w:val="en-US" w:eastAsia="zh-CN"/>
        </w:rPr>
        <w:t>14917253.66</w:t>
      </w:r>
      <w:r>
        <w:rPr>
          <w:rFonts w:hint="eastAsia" w:ascii="仿宋_GB2312" w:hAnsi="仿宋_GB2312" w:eastAsia="仿宋_GB2312" w:cs="仿宋_GB2312"/>
          <w:kern w:val="0"/>
          <w:szCs w:val="21"/>
          <w:u w:val="none"/>
        </w:rPr>
        <w:t xml:space="preserve"> 元，(大写) </w:t>
      </w:r>
      <w:r>
        <w:rPr>
          <w:rFonts w:hint="eastAsia" w:ascii="仿宋_GB2312" w:hAnsi="仿宋_GB2312" w:eastAsia="仿宋_GB2312" w:cs="仿宋_GB2312"/>
          <w:kern w:val="0"/>
          <w:szCs w:val="21"/>
          <w:u w:val="none"/>
          <w:lang w:val="en-US" w:eastAsia="zh-CN"/>
        </w:rPr>
        <w:t>壹仟肆佰玖拾壹万柒仟贰佰伍拾叁元陆角陆分</w:t>
      </w:r>
      <w:r>
        <w:rPr>
          <w:rFonts w:hint="eastAsia" w:ascii="仿宋_GB2312" w:hAnsi="仿宋_GB2312" w:eastAsia="仿宋_GB2312" w:cs="仿宋_GB2312"/>
          <w:kern w:val="0"/>
          <w:szCs w:val="21"/>
          <w:u w:val="none"/>
        </w:rPr>
        <w:t xml:space="preserve">  ;税金:(小写)¥ </w:t>
      </w:r>
      <w:r>
        <w:rPr>
          <w:rFonts w:hint="eastAsia" w:ascii="仿宋_GB2312" w:hAnsi="仿宋_GB2312" w:eastAsia="仿宋_GB2312" w:cs="仿宋_GB2312"/>
          <w:kern w:val="0"/>
          <w:szCs w:val="21"/>
          <w:u w:val="none"/>
          <w:lang w:val="en-US" w:eastAsia="zh-CN"/>
        </w:rPr>
        <w:t>1342552.83</w:t>
      </w:r>
      <w:r>
        <w:rPr>
          <w:rFonts w:hint="eastAsia" w:ascii="仿宋_GB2312" w:hAnsi="仿宋_GB2312" w:eastAsia="仿宋_GB2312" w:cs="仿宋_GB2312"/>
          <w:kern w:val="0"/>
          <w:szCs w:val="21"/>
          <w:u w:val="none"/>
        </w:rPr>
        <w:t xml:space="preserve"> 元，(大写) </w:t>
      </w:r>
      <w:r>
        <w:rPr>
          <w:rFonts w:hint="eastAsia" w:ascii="仿宋_GB2312" w:hAnsi="仿宋_GB2312" w:eastAsia="仿宋_GB2312" w:cs="仿宋_GB2312"/>
          <w:kern w:val="0"/>
          <w:szCs w:val="21"/>
          <w:u w:val="none"/>
          <w:lang w:val="en-US" w:eastAsia="zh-CN"/>
        </w:rPr>
        <w:t>壹佰叁拾肆万贰仟伍佰伍拾贰元捌角叁分</w:t>
      </w:r>
      <w:r>
        <w:rPr>
          <w:rFonts w:hint="eastAsia" w:ascii="仿宋_GB2312" w:hAnsi="仿宋_GB2312" w:eastAsia="仿宋_GB2312" w:cs="仿宋_GB2312"/>
          <w:kern w:val="0"/>
          <w:szCs w:val="21"/>
          <w:u w:val="none"/>
        </w:rPr>
        <w:t xml:space="preserve"> 。（投标人报价不得高于采购限价）</w:t>
      </w:r>
    </w:p>
    <w:p w14:paraId="2BDEF629">
      <w:pPr>
        <w:widowControl/>
        <w:tabs>
          <w:tab w:val="left" w:pos="361"/>
        </w:tabs>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u w:val="singl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szCs w:val="21"/>
          <w:u w:val="single"/>
        </w:rPr>
        <w:t xml:space="preserve"> </w:t>
      </w:r>
    </w:p>
    <w:p w14:paraId="5F8C9F1E">
      <w:pPr>
        <w:widowControl/>
        <w:snapToGrid w:val="0"/>
        <w:spacing w:line="360" w:lineRule="auto"/>
        <w:ind w:firstLine="367" w:firstLineChars="175"/>
        <w:rPr>
          <w:rFonts w:hint="default" w:ascii="仿宋_GB2312" w:hAnsi="仿宋_GB2312" w:eastAsia="仿宋_GB2312" w:cs="仿宋_GB2312"/>
          <w:kern w:val="0"/>
          <w:szCs w:val="21"/>
          <w:lang w:val="en-US"/>
        </w:rPr>
      </w:pPr>
      <w:r>
        <w:rPr>
          <w:rFonts w:hint="eastAsia" w:ascii="仿宋_GB2312" w:hAnsi="仿宋_GB2312" w:eastAsia="仿宋_GB2312" w:cs="仿宋_GB2312"/>
          <w:kern w:val="0"/>
          <w:szCs w:val="21"/>
        </w:rPr>
        <w:t>六、工程范围：1号食堂宿舍</w:t>
      </w:r>
      <w:r>
        <w:rPr>
          <w:rFonts w:hint="eastAsia" w:ascii="仿宋_GB2312" w:hAnsi="仿宋_GB2312" w:eastAsia="仿宋_GB2312" w:cs="仿宋_GB2312"/>
          <w:kern w:val="0"/>
          <w:szCs w:val="21"/>
          <w:lang w:val="en-US" w:eastAsia="zh-CN"/>
        </w:rPr>
        <w:t>三层屋面</w:t>
      </w:r>
      <w:r>
        <w:rPr>
          <w:rFonts w:hint="eastAsia" w:ascii="仿宋_GB2312" w:hAnsi="仿宋_GB2312" w:eastAsia="仿宋_GB2312" w:cs="仿宋_GB2312"/>
          <w:kern w:val="0"/>
          <w:szCs w:val="21"/>
        </w:rPr>
        <w:t>、5号高中教学楼</w:t>
      </w:r>
      <w:r>
        <w:rPr>
          <w:rFonts w:hint="eastAsia" w:ascii="仿宋_GB2312" w:hAnsi="仿宋_GB2312" w:eastAsia="仿宋_GB2312" w:cs="仿宋_GB2312"/>
          <w:kern w:val="0"/>
          <w:szCs w:val="21"/>
          <w:lang w:val="en-US" w:eastAsia="zh-CN"/>
        </w:rPr>
        <w:t>屋面</w:t>
      </w:r>
      <w:r>
        <w:rPr>
          <w:rFonts w:hint="eastAsia" w:ascii="仿宋_GB2312" w:hAnsi="仿宋_GB2312" w:eastAsia="仿宋_GB2312" w:cs="仿宋_GB2312"/>
          <w:kern w:val="0"/>
          <w:szCs w:val="21"/>
        </w:rPr>
        <w:t>、6号初中教学楼</w:t>
      </w:r>
      <w:r>
        <w:rPr>
          <w:rFonts w:hint="eastAsia" w:ascii="仿宋_GB2312" w:hAnsi="仿宋_GB2312" w:eastAsia="仿宋_GB2312" w:cs="仿宋_GB2312"/>
          <w:kern w:val="0"/>
          <w:szCs w:val="21"/>
          <w:lang w:val="en-US" w:eastAsia="zh-CN"/>
        </w:rPr>
        <w:t>屋面及所有室外的园建绿化施工区域，包括：</w:t>
      </w:r>
    </w:p>
    <w:p w14:paraId="4B78ADF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w:t>
      </w:r>
      <w:r>
        <w:rPr>
          <w:rFonts w:hint="eastAsia" w:ascii="仿宋_GB2312" w:hAnsi="仿宋_GB2312" w:eastAsia="仿宋_GB2312" w:cs="仿宋_GB2312"/>
          <w:kern w:val="0"/>
          <w:szCs w:val="21"/>
          <w:lang w:val="en-US" w:eastAsia="zh-CN"/>
        </w:rPr>
        <w:t>园建</w:t>
      </w:r>
      <w:r>
        <w:rPr>
          <w:rFonts w:hint="eastAsia" w:ascii="仿宋_GB2312" w:hAnsi="仿宋_GB2312" w:eastAsia="仿宋_GB2312" w:cs="仿宋_GB2312"/>
          <w:kern w:val="0"/>
          <w:szCs w:val="21"/>
        </w:rPr>
        <w:t>工程：</w:t>
      </w:r>
      <w:r>
        <w:rPr>
          <w:rFonts w:hint="eastAsia" w:ascii="仿宋_GB2312" w:hAnsi="仿宋_GB2312" w:eastAsia="仿宋_GB2312" w:cs="仿宋_GB2312"/>
          <w:kern w:val="0"/>
          <w:szCs w:val="21"/>
          <w:lang w:val="en-US" w:eastAsia="zh-CN"/>
        </w:rPr>
        <w:t>包括图纸中所有室外和屋面的园建工程中园建结构、铺装、水沟、水景、花池、坐等、台阶、围栏、种植回填等工程</w:t>
      </w:r>
      <w:r>
        <w:rPr>
          <w:rFonts w:hint="eastAsia" w:ascii="仿宋_GB2312" w:hAnsi="仿宋_GB2312" w:eastAsia="仿宋_GB2312" w:cs="仿宋_GB2312"/>
          <w:kern w:val="0"/>
          <w:szCs w:val="21"/>
        </w:rPr>
        <w:t>。</w:t>
      </w:r>
    </w:p>
    <w:p w14:paraId="4F4AA7F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w:t>
      </w:r>
      <w:r>
        <w:rPr>
          <w:rFonts w:hint="eastAsia" w:ascii="仿宋_GB2312" w:hAnsi="仿宋_GB2312" w:eastAsia="仿宋_GB2312" w:cs="仿宋_GB2312"/>
          <w:kern w:val="0"/>
          <w:szCs w:val="21"/>
          <w:lang w:val="en-US" w:eastAsia="zh-CN"/>
        </w:rPr>
        <w:t>沥青混凝土工程</w:t>
      </w:r>
      <w:r>
        <w:rPr>
          <w:rFonts w:hint="eastAsia" w:ascii="仿宋_GB2312" w:hAnsi="仿宋_GB2312" w:eastAsia="仿宋_GB2312" w:cs="仿宋_GB2312"/>
          <w:kern w:val="0"/>
          <w:szCs w:val="21"/>
        </w:rPr>
        <w:t>：</w:t>
      </w:r>
      <w:r>
        <w:rPr>
          <w:rFonts w:hint="eastAsia" w:ascii="仿宋_GB2312" w:hAnsi="仿宋_GB2312" w:eastAsia="仿宋_GB2312" w:cs="仿宋_GB2312"/>
          <w:kern w:val="0"/>
          <w:szCs w:val="21"/>
          <w:lang w:val="en-US" w:eastAsia="zh-CN"/>
        </w:rPr>
        <w:t>包括行透水车沥青铺装、足球场、球场、垃圾站等范围的沥青混凝土</w:t>
      </w:r>
      <w:r>
        <w:rPr>
          <w:rFonts w:hint="eastAsia" w:ascii="仿宋_GB2312" w:hAnsi="仿宋_GB2312" w:eastAsia="仿宋_GB2312" w:cs="仿宋_GB2312"/>
          <w:kern w:val="0"/>
          <w:szCs w:val="21"/>
        </w:rPr>
        <w:t>。</w:t>
      </w:r>
    </w:p>
    <w:p w14:paraId="320905C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w:t>
      </w:r>
      <w:r>
        <w:rPr>
          <w:rFonts w:hint="eastAsia" w:ascii="仿宋_GB2312" w:hAnsi="仿宋_GB2312" w:eastAsia="仿宋_GB2312" w:cs="仿宋_GB2312"/>
          <w:kern w:val="0"/>
          <w:szCs w:val="21"/>
          <w:lang w:val="en-US" w:eastAsia="zh-CN"/>
        </w:rPr>
        <w:t>绿化</w:t>
      </w:r>
      <w:r>
        <w:rPr>
          <w:rFonts w:hint="eastAsia" w:ascii="仿宋_GB2312" w:hAnsi="仿宋_GB2312" w:eastAsia="仿宋_GB2312" w:cs="仿宋_GB2312"/>
          <w:kern w:val="0"/>
          <w:szCs w:val="21"/>
        </w:rPr>
        <w:t>工程:包括</w:t>
      </w:r>
      <w:r>
        <w:rPr>
          <w:rFonts w:hint="eastAsia" w:ascii="仿宋_GB2312" w:hAnsi="仿宋_GB2312" w:eastAsia="仿宋_GB2312" w:cs="仿宋_GB2312"/>
          <w:kern w:val="0"/>
          <w:szCs w:val="21"/>
          <w:lang w:val="en-US" w:eastAsia="zh-CN"/>
        </w:rPr>
        <w:t>绿化施工图中所有乔木、灌木、花卉、草皮工程等</w:t>
      </w:r>
      <w:r>
        <w:rPr>
          <w:rFonts w:hint="eastAsia" w:ascii="仿宋_GB2312" w:hAnsi="仿宋_GB2312" w:eastAsia="仿宋_GB2312" w:cs="仿宋_GB2312"/>
          <w:kern w:val="0"/>
          <w:szCs w:val="21"/>
        </w:rPr>
        <w:t>。</w:t>
      </w:r>
    </w:p>
    <w:p w14:paraId="02221CA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负责施工图中</w:t>
      </w:r>
      <w:r>
        <w:rPr>
          <w:rFonts w:hint="eastAsia" w:ascii="仿宋_GB2312" w:hAnsi="仿宋_GB2312" w:eastAsia="仿宋_GB2312" w:cs="仿宋_GB2312"/>
          <w:kern w:val="0"/>
          <w:szCs w:val="21"/>
          <w:lang w:val="en-US" w:eastAsia="zh-CN"/>
        </w:rPr>
        <w:t>园建绿化的设计</w:t>
      </w:r>
      <w:r>
        <w:rPr>
          <w:rFonts w:hint="eastAsia" w:ascii="仿宋_GB2312" w:hAnsi="仿宋_GB2312" w:eastAsia="仿宋_GB2312" w:cs="仿宋_GB2312"/>
          <w:kern w:val="0"/>
          <w:szCs w:val="21"/>
        </w:rPr>
        <w:t>深化工作</w:t>
      </w:r>
    </w:p>
    <w:p w14:paraId="0FDE287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以上内容详见工程量清单及施工图纸范围。</w:t>
      </w:r>
    </w:p>
    <w:p w14:paraId="76238B5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0A4EA76E">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按图纸范围内包工、包料（甲供材除外）、包辅材、包机械设备、包制安、包调试、包安全、包质量、包材料设备价格变化风险费、包施工用水电设备及相关费用（按合同结算价1%扣收）、包与其他分包单位的配合等。</w:t>
      </w:r>
    </w:p>
    <w:p w14:paraId="2479034E">
      <w:pPr>
        <w:widowControl/>
        <w:snapToGrid w:val="0"/>
        <w:spacing w:line="360" w:lineRule="auto"/>
        <w:ind w:firstLine="367" w:firstLineChars="175"/>
        <w:rPr>
          <w:rFonts w:hint="eastAsia" w:ascii="仿宋_GB2312" w:hAnsi="仿宋_GB2312" w:eastAsia="仿宋_GB2312" w:cs="仿宋_GB2312"/>
          <w:b/>
          <w:bCs/>
          <w:kern w:val="0"/>
          <w:szCs w:val="21"/>
          <w:lang w:val="en-US" w:eastAsia="zh-CN"/>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b/>
          <w:bCs/>
          <w:kern w:val="0"/>
          <w:szCs w:val="21"/>
        </w:rPr>
        <w:t xml:space="preserve"> </w:t>
      </w:r>
      <w:r>
        <w:rPr>
          <w:rFonts w:hint="eastAsia" w:ascii="仿宋_GB2312" w:hAnsi="仿宋_GB2312" w:eastAsia="仿宋_GB2312" w:cs="仿宋_GB2312"/>
          <w:b/>
          <w:bCs/>
          <w:kern w:val="0"/>
          <w:szCs w:val="21"/>
          <w:lang w:val="en-US" w:eastAsia="zh-CN"/>
        </w:rPr>
        <w:t>普通预拌混凝土、无砂大孔秀水混凝土、石材路缘石、石材（天然的大理石、花岗岩），具体详见甲供材料表，除甲供材料表列明的材料外，其它由乙方负责。</w:t>
      </w:r>
    </w:p>
    <w:p w14:paraId="0DB00DC5">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3、绿化养护按设计图纸说明养护或一级养护，本工程绿化养护期为竣工验收合格后12个月，除绿化养护外，其他工程质保2年。</w:t>
      </w:r>
    </w:p>
    <w:p w14:paraId="12132DB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八、工期：计划开、竣工日期：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日至</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30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222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日历天，具体施工时间根据项目部施工进度安排。</w:t>
      </w:r>
    </w:p>
    <w:p w14:paraId="6747ABE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135A9A91">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12861CB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019BC0B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675CA9D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774AF5F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53FD034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1786FDB0">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w:t>
      </w:r>
    </w:p>
    <w:p w14:paraId="15E1ED16">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3339EC4B">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bookmarkStart w:id="0" w:name="OLE_LINK4"/>
      <w:r>
        <w:rPr>
          <w:rFonts w:hint="eastAsia" w:ascii="仿宋_GB2312" w:hAnsi="仿宋_GB2312" w:eastAsia="仿宋_GB2312" w:cs="仿宋_GB2312"/>
          <w:color w:val="FF0000"/>
          <w:kern w:val="0"/>
          <w:szCs w:val="21"/>
          <w:lang w:val="en-US" w:eastAsia="zh-CN"/>
        </w:rPr>
        <w:t>6、本项目履约保证金：设立（详见合同条款约定第十一条）</w:t>
      </w:r>
      <w:bookmarkEnd w:id="0"/>
      <w:bookmarkStart w:id="1" w:name="_GoBack"/>
      <w:bookmarkEnd w:id="1"/>
    </w:p>
    <w:p w14:paraId="6B06E1D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13B9AB2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18BC0EF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主要施工材料品牌详见材料品牌明细表</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7096DE0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2、质量目标：承包单位须确保承包范围内工程内容达到国家或行业质量检验评定的合格标准，获评广东省建设工程优质奖，争创国家优质工程奖及鲁班奖。否则，将按合同条款进行处罚。</w:t>
      </w:r>
    </w:p>
    <w:p w14:paraId="21D6158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0D0E81A9">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64CF144F">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0A0D9669">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57002721">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5B993EBE">
      <w:pPr>
        <w:widowControl/>
        <w:snapToGrid w:val="0"/>
        <w:spacing w:line="480" w:lineRule="auto"/>
        <w:ind w:firstLine="640"/>
        <w:jc w:val="right"/>
        <w:rPr>
          <w:rFonts w:hint="eastAsia" w:ascii="仿宋_GB2312" w:hAnsi="仿宋_GB2312" w:eastAsia="仿宋_GB2312" w:cs="仿宋_GB2312"/>
          <w:kern w:val="0"/>
          <w:szCs w:val="21"/>
        </w:rPr>
      </w:pPr>
    </w:p>
    <w:p w14:paraId="17BB00B1">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35362A44">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11</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07</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E40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2025-11-03T01:24:33Z</dcterms:created>
  <dc:creator>lenovo</dc:creator>
  <cp:lastModifiedBy>黄惠东</cp:lastModifiedBy>
  <dcterms:modified xsi:type="dcterms:W3CDTF">2025-11-03T01:25:08Z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D24B65266C9244749208008DD9D193D8_12</vt:lpwstr>
  </property>
</Properties>
</file>